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789A1" w14:textId="77777777" w:rsidR="0064764E" w:rsidRDefault="0064764E" w:rsidP="0064764E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bCs/>
          <w:color w:val="7F6000"/>
          <w:sz w:val="32"/>
          <w:szCs w:val="32"/>
        </w:rPr>
        <w:t>LEVELING THE PLAYING FIELD</w:t>
      </w:r>
      <w:r>
        <w:rPr>
          <w:rFonts w:ascii="Georgia" w:hAnsi="Georgia"/>
          <w:b/>
          <w:bCs/>
          <w:color w:val="000000"/>
          <w:sz w:val="32"/>
          <w:szCs w:val="32"/>
        </w:rPr>
        <w:t xml:space="preserve"> | </w:t>
      </w:r>
      <w:r>
        <w:rPr>
          <w:rFonts w:ascii="Georgia" w:hAnsi="Georgia"/>
          <w:color w:val="000000"/>
          <w:sz w:val="32"/>
          <w:szCs w:val="32"/>
        </w:rPr>
        <w:t>WHY TRADE ACTION IS NECESSARY</w:t>
      </w:r>
    </w:p>
    <w:p w14:paraId="62D79464" w14:textId="77777777" w:rsidR="0064764E" w:rsidRDefault="0064764E" w:rsidP="0064764E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bCs/>
          <w:color w:val="7F6000"/>
          <w:sz w:val="36"/>
          <w:szCs w:val="36"/>
        </w:rPr>
        <w:t>____________________________________</w:t>
      </w:r>
    </w:p>
    <w:p w14:paraId="0364B54C" w14:textId="77777777" w:rsidR="0064764E" w:rsidRDefault="0064764E" w:rsidP="0064764E">
      <w:pPr>
        <w:rPr>
          <w:rFonts w:ascii="Georgia" w:hAnsi="Georgia"/>
          <w:sz w:val="32"/>
          <w:szCs w:val="32"/>
        </w:rPr>
      </w:pPr>
      <w:r>
        <w:t> </w:t>
      </w:r>
    </w:p>
    <w:p w14:paraId="498BC67A" w14:textId="77777777" w:rsidR="0064764E" w:rsidRDefault="0064764E" w:rsidP="0064764E">
      <w:pPr>
        <w:rPr>
          <w:rFonts w:ascii="Georgia" w:hAnsi="Georgia"/>
          <w:sz w:val="32"/>
          <w:szCs w:val="32"/>
        </w:rPr>
      </w:pPr>
      <w:r>
        <w:t> </w:t>
      </w:r>
    </w:p>
    <w:p w14:paraId="124A140F" w14:textId="77777777" w:rsidR="0064764E" w:rsidRDefault="0064764E" w:rsidP="0064764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bCs/>
        </w:rPr>
        <w:t>The United States is a free trade country, but many of our trading partners are not. For an example, let’s take the case of the car:</w:t>
      </w:r>
    </w:p>
    <w:p w14:paraId="3EF03FD8" w14:textId="77777777" w:rsidR="0064764E" w:rsidRDefault="0064764E" w:rsidP="0064764E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Georgia" w:hAnsi="Georgia"/>
        </w:rPr>
      </w:pPr>
      <w:r>
        <w:rPr>
          <w:rFonts w:ascii="Georgia" w:hAnsi="Georgia"/>
        </w:rPr>
        <w:t>If a foreign producer wants to sell a car into the United States, they’re charged a 2.5% tariff.</w:t>
      </w:r>
    </w:p>
    <w:p w14:paraId="21CE0462" w14:textId="77777777" w:rsidR="0064764E" w:rsidRDefault="0064764E" w:rsidP="0064764E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Georgia" w:hAnsi="Georgia"/>
        </w:rPr>
      </w:pPr>
      <w:r>
        <w:rPr>
          <w:rFonts w:ascii="Georgia" w:hAnsi="Georgia"/>
        </w:rPr>
        <w:t>BUT, if an American company wants to sell a car into the EU, they’re charged a 10% tariff – and that’s before the VAT.</w:t>
      </w:r>
    </w:p>
    <w:p w14:paraId="778ADEF1" w14:textId="77777777" w:rsidR="0064764E" w:rsidRDefault="0064764E" w:rsidP="0064764E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Georgia" w:hAnsi="Georgia"/>
          <w:sz w:val="32"/>
          <w:szCs w:val="32"/>
        </w:rPr>
      </w:pPr>
      <w:r>
        <w:rPr>
          <w:rFonts w:ascii="Georgia" w:hAnsi="Georgia"/>
        </w:rPr>
        <w:t>AND, if an American company wants to sell a car into China, they’re charged a 25% tariff.</w:t>
      </w:r>
      <w:r>
        <w:rPr>
          <w:rFonts w:ascii="Georgia" w:hAnsi="Georgia"/>
          <w:sz w:val="32"/>
          <w:szCs w:val="32"/>
        </w:rPr>
        <w:t xml:space="preserve"> </w:t>
      </w:r>
    </w:p>
    <w:p w14:paraId="2597BE5C" w14:textId="77777777" w:rsidR="0064764E" w:rsidRDefault="0064764E" w:rsidP="0064764E">
      <w:pPr>
        <w:rPr>
          <w:rFonts w:ascii="Georgia" w:hAnsi="Georgia"/>
          <w:sz w:val="32"/>
          <w:szCs w:val="32"/>
        </w:rPr>
      </w:pPr>
      <w:r>
        <w:t> </w:t>
      </w:r>
    </w:p>
    <w:p w14:paraId="496E9E2C" w14:textId="77777777" w:rsidR="0064764E" w:rsidRDefault="0064764E" w:rsidP="0064764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bCs/>
        </w:rPr>
        <w:t xml:space="preserve">This is </w:t>
      </w:r>
      <w:r>
        <w:rPr>
          <w:rFonts w:ascii="Georgia" w:hAnsi="Georgia"/>
          <w:b/>
          <w:bCs/>
          <w:u w:val="single"/>
        </w:rPr>
        <w:t>NOT</w:t>
      </w:r>
      <w:r>
        <w:rPr>
          <w:rFonts w:ascii="Georgia" w:hAnsi="Georgia"/>
          <w:b/>
          <w:bCs/>
        </w:rPr>
        <w:t xml:space="preserve"> an isolated case. U.S. manufacturers face unfair tariffs across the world. Take for example the following industries, where U.S. tariff rates are at 0% or are lower than other countries:</w:t>
      </w:r>
    </w:p>
    <w:p w14:paraId="33B6D427" w14:textId="77777777" w:rsidR="0064764E" w:rsidRDefault="0064764E" w:rsidP="0064764E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Georgia" w:hAnsi="Georgia"/>
        </w:rPr>
      </w:pPr>
      <w:r>
        <w:rPr>
          <w:rFonts w:ascii="Georgia" w:hAnsi="Georgia"/>
        </w:rPr>
        <w:t>Motorcycles: US (0%), China (42.1%), EU (6.57%)</w:t>
      </w:r>
    </w:p>
    <w:p w14:paraId="07F5B1AA" w14:textId="77777777" w:rsidR="0064764E" w:rsidRDefault="0064764E" w:rsidP="0064764E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Georgia" w:hAnsi="Georgia"/>
        </w:rPr>
      </w:pPr>
      <w:r>
        <w:rPr>
          <w:rFonts w:ascii="Georgia" w:hAnsi="Georgia"/>
        </w:rPr>
        <w:t>Fruit juices: US (0%), China (19%), EU (18.3%)</w:t>
      </w:r>
    </w:p>
    <w:p w14:paraId="77AD83E5" w14:textId="77777777" w:rsidR="0064764E" w:rsidRDefault="0064764E" w:rsidP="0064764E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Georgia" w:hAnsi="Georgia"/>
        </w:rPr>
      </w:pPr>
      <w:r>
        <w:rPr>
          <w:rFonts w:ascii="Georgia" w:hAnsi="Georgia"/>
        </w:rPr>
        <w:t>Monitors: US (2.1%), China (24.5%), EU (14%)</w:t>
      </w:r>
    </w:p>
    <w:p w14:paraId="56A9F0C9" w14:textId="77777777" w:rsidR="0064764E" w:rsidRDefault="0064764E" w:rsidP="0064764E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Georgia" w:hAnsi="Georgia"/>
        </w:rPr>
      </w:pPr>
      <w:r>
        <w:rPr>
          <w:rFonts w:ascii="Georgia" w:hAnsi="Georgia"/>
        </w:rPr>
        <w:t>Ski boots: US (0%), China (24%), EU (17%)</w:t>
      </w:r>
    </w:p>
    <w:p w14:paraId="50872DF4" w14:textId="77777777" w:rsidR="0064764E" w:rsidRDefault="0064764E" w:rsidP="0064764E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Georgia" w:hAnsi="Georgia"/>
        </w:rPr>
      </w:pPr>
      <w:r>
        <w:rPr>
          <w:rFonts w:ascii="Georgia" w:hAnsi="Georgia"/>
        </w:rPr>
        <w:t>Bananas: US (0%), China (10%), EU (16%)</w:t>
      </w:r>
    </w:p>
    <w:p w14:paraId="6CFAC8CC" w14:textId="77777777" w:rsidR="0064764E" w:rsidRDefault="0064764E" w:rsidP="0064764E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Georgia" w:hAnsi="Georgia"/>
        </w:rPr>
      </w:pPr>
      <w:r>
        <w:rPr>
          <w:rFonts w:ascii="Georgia" w:hAnsi="Georgia"/>
        </w:rPr>
        <w:t>Neck ties: US (7.5%), China (14%), EU (10%)</w:t>
      </w:r>
    </w:p>
    <w:p w14:paraId="6BF62E2C" w14:textId="77777777" w:rsidR="0064764E" w:rsidRDefault="0064764E" w:rsidP="0064764E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Georgia" w:hAnsi="Georgia"/>
        </w:rPr>
      </w:pPr>
      <w:r>
        <w:rPr>
          <w:rFonts w:ascii="Georgia" w:hAnsi="Georgia"/>
        </w:rPr>
        <w:t>Ball bearings: US (5.7%), China (8%), EU (8%)</w:t>
      </w:r>
    </w:p>
    <w:p w14:paraId="5E5635C2" w14:textId="77777777" w:rsidR="0064764E" w:rsidRDefault="0064764E" w:rsidP="0064764E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Georgia" w:hAnsi="Georgia"/>
          <w:sz w:val="32"/>
          <w:szCs w:val="32"/>
        </w:rPr>
      </w:pPr>
      <w:r>
        <w:rPr>
          <w:rFonts w:ascii="Georgia" w:hAnsi="Georgia"/>
        </w:rPr>
        <w:t>Grapes: US (0%), China (11.5%), EU (8.4%)</w:t>
      </w:r>
      <w:r>
        <w:rPr>
          <w:rFonts w:ascii="Georgia" w:hAnsi="Georgia"/>
          <w:sz w:val="32"/>
          <w:szCs w:val="32"/>
        </w:rPr>
        <w:t xml:space="preserve"> </w:t>
      </w:r>
    </w:p>
    <w:p w14:paraId="2C594359" w14:textId="77777777" w:rsidR="0064764E" w:rsidRDefault="0064764E" w:rsidP="0064764E">
      <w:pPr>
        <w:rPr>
          <w:rFonts w:ascii="Georgia" w:hAnsi="Georgia"/>
          <w:sz w:val="32"/>
          <w:szCs w:val="32"/>
        </w:rPr>
      </w:pPr>
      <w:r>
        <w:t> </w:t>
      </w:r>
    </w:p>
    <w:p w14:paraId="77796813" w14:textId="77777777" w:rsidR="0064764E" w:rsidRDefault="0064764E" w:rsidP="0064764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bCs/>
        </w:rPr>
        <w:t>The U.S. is not operating in a true free-market – the President opposes trade agreements that help foreign producers at the expense of American producers and the workers they employ:</w:t>
      </w:r>
    </w:p>
    <w:p w14:paraId="079A8A55" w14:textId="77777777" w:rsidR="0064764E" w:rsidRDefault="0064764E" w:rsidP="0064764E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Georgia" w:hAnsi="Georgia"/>
        </w:rPr>
      </w:pPr>
      <w:r>
        <w:rPr>
          <w:rFonts w:ascii="Georgia" w:hAnsi="Georgia"/>
        </w:rPr>
        <w:t xml:space="preserve">Other members of the G-20 generally face lower levels of tariffs compared to those they impose, on a simple average basis.  </w:t>
      </w:r>
    </w:p>
    <w:p w14:paraId="4EB981DF" w14:textId="77777777" w:rsidR="0064764E" w:rsidRDefault="0064764E" w:rsidP="0064764E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Georgia" w:hAnsi="Georgia"/>
          <w:sz w:val="32"/>
          <w:szCs w:val="32"/>
        </w:rPr>
      </w:pPr>
      <w:r>
        <w:rPr>
          <w:rFonts w:ascii="Georgia" w:hAnsi="Georgia"/>
        </w:rPr>
        <w:t xml:space="preserve">The US is particularly disadvantaged on our agricultural exports, with an 11.6 percent difference between the tariffs we charge versus what we face.  </w:t>
      </w:r>
    </w:p>
    <w:p w14:paraId="3DB81B2F" w14:textId="77777777" w:rsidR="0064764E" w:rsidRDefault="0064764E" w:rsidP="0064764E">
      <w:pPr>
        <w:numPr>
          <w:ilvl w:val="0"/>
          <w:numId w:val="4"/>
        </w:numPr>
        <w:spacing w:before="100" w:beforeAutospacing="1" w:after="100" w:afterAutospacing="1"/>
        <w:ind w:left="0"/>
        <w:rPr>
          <w:rFonts w:ascii="Georgia" w:hAnsi="Georgia"/>
          <w:sz w:val="32"/>
          <w:szCs w:val="32"/>
        </w:rPr>
      </w:pPr>
      <w:r>
        <w:rPr>
          <w:rFonts w:ascii="Georgia" w:hAnsi="Georgia"/>
        </w:rPr>
        <w:t>If we look at the same products for the G20 countries, they have a negative 4.8 percent difference on agriculture products – meaning they impose more tariffs on imports than what their exporters face.</w:t>
      </w:r>
      <w:r>
        <w:rPr>
          <w:rFonts w:ascii="Georgia" w:hAnsi="Georgia"/>
          <w:sz w:val="32"/>
          <w:szCs w:val="32"/>
        </w:rPr>
        <w:t xml:space="preserve"> </w:t>
      </w:r>
    </w:p>
    <w:p w14:paraId="5AF7A560" w14:textId="77777777" w:rsidR="0064764E" w:rsidRDefault="0064764E" w:rsidP="0064764E">
      <w:pPr>
        <w:rPr>
          <w:rFonts w:ascii="Georgia" w:hAnsi="Georgia"/>
          <w:sz w:val="32"/>
          <w:szCs w:val="32"/>
        </w:rPr>
      </w:pPr>
      <w:r>
        <w:t> </w:t>
      </w:r>
    </w:p>
    <w:p w14:paraId="699042C4" w14:textId="77777777" w:rsidR="0064764E" w:rsidRDefault="0064764E" w:rsidP="0064764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bCs/>
        </w:rPr>
        <w:t>As a result, the U.S. trade deficit jumped to more than a 9-year high in January:</w:t>
      </w:r>
    </w:p>
    <w:p w14:paraId="5E5E52CF" w14:textId="77777777" w:rsidR="0064764E" w:rsidRDefault="0064764E" w:rsidP="0064764E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Georgia" w:hAnsi="Georgia"/>
        </w:rPr>
      </w:pPr>
      <w:r>
        <w:rPr>
          <w:rFonts w:ascii="Georgia" w:hAnsi="Georgia"/>
        </w:rPr>
        <w:t>Today, the Commerce Department said that the trade gap jumped 5 percent to $56.6 billion, the highest level since 2008.</w:t>
      </w:r>
    </w:p>
    <w:p w14:paraId="639BC7D5" w14:textId="77777777" w:rsidR="0064764E" w:rsidRDefault="0064764E" w:rsidP="0064764E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Georgia" w:hAnsi="Georgia"/>
        </w:rPr>
      </w:pPr>
      <w:r>
        <w:rPr>
          <w:rFonts w:ascii="Georgia" w:hAnsi="Georgia"/>
        </w:rPr>
        <w:t>The shortfall with China widened sharply – to $36 billion – the highest since Sept. 2015.</w:t>
      </w:r>
    </w:p>
    <w:p w14:paraId="6A4E2126" w14:textId="77777777" w:rsidR="0064764E" w:rsidRDefault="0064764E" w:rsidP="0064764E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Georgia" w:hAnsi="Georgia"/>
          <w:sz w:val="32"/>
          <w:szCs w:val="32"/>
        </w:rPr>
      </w:pPr>
      <w:r>
        <w:rPr>
          <w:rFonts w:ascii="Georgia" w:hAnsi="Georgia"/>
        </w:rPr>
        <w:t>The deficit with Canada was the highest in three years.</w:t>
      </w:r>
      <w:r>
        <w:rPr>
          <w:rFonts w:ascii="Georgia" w:hAnsi="Georgia"/>
          <w:sz w:val="32"/>
          <w:szCs w:val="32"/>
        </w:rPr>
        <w:t xml:space="preserve"> </w:t>
      </w:r>
    </w:p>
    <w:p w14:paraId="525AA8CA" w14:textId="77777777" w:rsidR="0064764E" w:rsidRDefault="0064764E" w:rsidP="0064764E">
      <w:pPr>
        <w:rPr>
          <w:rFonts w:ascii="Georgia" w:hAnsi="Georgia"/>
          <w:sz w:val="32"/>
          <w:szCs w:val="32"/>
        </w:rPr>
      </w:pPr>
      <w:r>
        <w:lastRenderedPageBreak/>
        <w:t> </w:t>
      </w:r>
    </w:p>
    <w:p w14:paraId="7B0A1C21" w14:textId="77777777" w:rsidR="0064764E" w:rsidRDefault="0064764E" w:rsidP="0064764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bCs/>
        </w:rPr>
        <w:t xml:space="preserve">Consistent with the </w:t>
      </w:r>
      <w:hyperlink r:id="rId5" w:history="1">
        <w:r>
          <w:rPr>
            <w:rStyle w:val="Hyperlink"/>
            <w:rFonts w:ascii="Georgia" w:hAnsi="Georgia"/>
            <w:b/>
            <w:bCs/>
          </w:rPr>
          <w:t>National Security Strategy</w:t>
        </w:r>
      </w:hyperlink>
      <w:r>
        <w:rPr>
          <w:rFonts w:ascii="Georgia" w:hAnsi="Georgia"/>
          <w:b/>
          <w:bCs/>
        </w:rPr>
        <w:t xml:space="preserve"> President Trump announced in December 2017, the President’s Trade Policy Agenda recognizes that economic prosperity at home is necessary for American power and influence abroad.</w:t>
      </w:r>
    </w:p>
    <w:p w14:paraId="4DE61A85" w14:textId="77777777" w:rsidR="0064764E" w:rsidRDefault="0064764E" w:rsidP="0064764E">
      <w:pPr>
        <w:rPr>
          <w:rFonts w:ascii="Georgia" w:hAnsi="Georgia"/>
          <w:sz w:val="32"/>
          <w:szCs w:val="32"/>
        </w:rPr>
      </w:pPr>
      <w:r>
        <w:rPr>
          <w:rFonts w:ascii="Georgia" w:hAnsi="Georgia"/>
        </w:rPr>
        <w:t> </w:t>
      </w:r>
    </w:p>
    <w:p w14:paraId="0F9435F6" w14:textId="77777777" w:rsidR="0064764E" w:rsidRDefault="0064764E" w:rsidP="0064764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bCs/>
        </w:rPr>
        <w:t>Every President in the modern age has recognized this trade issue and has tried to fix it.</w:t>
      </w:r>
    </w:p>
    <w:p w14:paraId="43E6E972" w14:textId="77777777" w:rsidR="0064764E" w:rsidRDefault="0064764E" w:rsidP="0064764E">
      <w:pPr>
        <w:rPr>
          <w:rFonts w:ascii="Georgia" w:hAnsi="Georgia"/>
          <w:sz w:val="32"/>
          <w:szCs w:val="32"/>
        </w:rPr>
      </w:pPr>
      <w:r>
        <w:rPr>
          <w:rFonts w:ascii="Georgia" w:hAnsi="Georgia"/>
        </w:rPr>
        <w:t> </w:t>
      </w:r>
    </w:p>
    <w:p w14:paraId="0C969468" w14:textId="77777777" w:rsidR="0064764E" w:rsidRDefault="0064764E" w:rsidP="0064764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bCs/>
        </w:rPr>
        <w:t xml:space="preserve">President Trump is a great negotiator, and he knows that to restore fairness to this system, he </w:t>
      </w:r>
      <w:proofErr w:type="gramStart"/>
      <w:r>
        <w:rPr>
          <w:rFonts w:ascii="Georgia" w:hAnsi="Georgia"/>
          <w:b/>
          <w:bCs/>
        </w:rPr>
        <w:t>has to</w:t>
      </w:r>
      <w:proofErr w:type="gramEnd"/>
      <w:r>
        <w:rPr>
          <w:rFonts w:ascii="Georgia" w:hAnsi="Georgia"/>
          <w:b/>
          <w:bCs/>
        </w:rPr>
        <w:t xml:space="preserve"> show our trading partners that he’s serious.</w:t>
      </w:r>
    </w:p>
    <w:p w14:paraId="07C81308" w14:textId="77777777" w:rsidR="0064764E" w:rsidRDefault="0064764E" w:rsidP="0064764E">
      <w:pPr>
        <w:rPr>
          <w:rFonts w:ascii="Georgia" w:hAnsi="Georgia"/>
          <w:sz w:val="32"/>
          <w:szCs w:val="32"/>
        </w:rPr>
      </w:pPr>
      <w:r>
        <w:rPr>
          <w:rFonts w:ascii="Georgia" w:hAnsi="Georgia"/>
        </w:rPr>
        <w:t> </w:t>
      </w:r>
    </w:p>
    <w:p w14:paraId="218EC4B1" w14:textId="77777777" w:rsidR="0064764E" w:rsidRDefault="0064764E" w:rsidP="0064764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bCs/>
        </w:rPr>
        <w:t>In January, the USTR issued tariffs against the solar and washer industry and the action sparked no trade war – only more investment in the U.S.</w:t>
      </w:r>
    </w:p>
    <w:p w14:paraId="7D1C8946" w14:textId="77777777" w:rsidR="0064764E" w:rsidRDefault="0064764E" w:rsidP="0064764E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Georgia" w:hAnsi="Georgia"/>
        </w:rPr>
      </w:pPr>
      <w:r>
        <w:rPr>
          <w:rFonts w:ascii="Georgia" w:hAnsi="Georgia"/>
        </w:rPr>
        <w:t>After an investigation into the washer industry was initiated, both Samsung and LG announced plans to build large factories in Newbery, South Carolina and Clarksville, Tennessee.</w:t>
      </w:r>
    </w:p>
    <w:p w14:paraId="4ACB2D80" w14:textId="77777777" w:rsidR="0064764E" w:rsidRDefault="0064764E" w:rsidP="0064764E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Georgia" w:hAnsi="Georgia"/>
          <w:sz w:val="32"/>
          <w:szCs w:val="32"/>
        </w:rPr>
      </w:pPr>
      <w:r>
        <w:rPr>
          <w:rFonts w:ascii="Georgia" w:hAnsi="Georgia"/>
        </w:rPr>
        <w:t>After the tariffs were announced, Whirlpool said it would add 200 jobs at their Clyde, Ohio plant.</w:t>
      </w:r>
      <w:r>
        <w:rPr>
          <w:rFonts w:ascii="Georgia" w:hAnsi="Georgia"/>
          <w:sz w:val="32"/>
          <w:szCs w:val="32"/>
        </w:rPr>
        <w:t xml:space="preserve"> </w:t>
      </w:r>
    </w:p>
    <w:p w14:paraId="6F9D7711" w14:textId="77777777" w:rsidR="0064764E" w:rsidRDefault="0064764E" w:rsidP="0064764E">
      <w:pPr>
        <w:rPr>
          <w:rFonts w:ascii="Georgia" w:hAnsi="Georgia"/>
          <w:sz w:val="32"/>
          <w:szCs w:val="32"/>
        </w:rPr>
      </w:pPr>
      <w:r>
        <w:t> </w:t>
      </w:r>
    </w:p>
    <w:p w14:paraId="06EDB2C7" w14:textId="77777777" w:rsidR="0064764E" w:rsidRDefault="0064764E" w:rsidP="0064764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bCs/>
        </w:rPr>
        <w:t>Already, we’re beginning to see this trend play out in the steel and aluminum industry:</w:t>
      </w:r>
    </w:p>
    <w:p w14:paraId="67F02979" w14:textId="77777777" w:rsidR="0064764E" w:rsidRDefault="0064764E" w:rsidP="0064764E">
      <w:pPr>
        <w:numPr>
          <w:ilvl w:val="0"/>
          <w:numId w:val="7"/>
        </w:numPr>
        <w:spacing w:before="100" w:beforeAutospacing="1" w:after="100" w:afterAutospacing="1"/>
        <w:ind w:left="0"/>
        <w:rPr>
          <w:rFonts w:ascii="Georgia" w:hAnsi="Georgia"/>
        </w:rPr>
      </w:pPr>
      <w:r>
        <w:rPr>
          <w:rFonts w:ascii="Georgia" w:hAnsi="Georgia"/>
        </w:rPr>
        <w:t xml:space="preserve">Today, it was announced a new aluminum smelter will open in New Madrid County, Missouri, at the site of the former </w:t>
      </w:r>
      <w:proofErr w:type="spellStart"/>
      <w:r>
        <w:rPr>
          <w:rFonts w:ascii="Georgia" w:hAnsi="Georgia"/>
        </w:rPr>
        <w:t>Noranda</w:t>
      </w:r>
      <w:proofErr w:type="spellEnd"/>
      <w:r>
        <w:rPr>
          <w:rFonts w:ascii="Georgia" w:hAnsi="Georgia"/>
        </w:rPr>
        <w:t xml:space="preserve"> Aluminum plant.</w:t>
      </w:r>
    </w:p>
    <w:p w14:paraId="0373F51B" w14:textId="77777777" w:rsidR="0064764E" w:rsidRDefault="0064764E" w:rsidP="0064764E">
      <w:pPr>
        <w:numPr>
          <w:ilvl w:val="0"/>
          <w:numId w:val="7"/>
        </w:numPr>
        <w:spacing w:before="100" w:beforeAutospacing="1" w:after="100" w:afterAutospacing="1"/>
        <w:ind w:left="0"/>
        <w:rPr>
          <w:rFonts w:ascii="Georgia" w:hAnsi="Georgia"/>
        </w:rPr>
      </w:pPr>
      <w:r>
        <w:rPr>
          <w:rFonts w:ascii="Georgia" w:hAnsi="Georgia"/>
          <w:b/>
          <w:bCs/>
        </w:rPr>
        <w:t>U.S. Steel</w:t>
      </w:r>
      <w:r>
        <w:rPr>
          <w:rFonts w:ascii="Georgia" w:hAnsi="Georgia"/>
        </w:rPr>
        <w:t xml:space="preserve"> CEO David Burritt said on CNBC this morning: “We will be calling back 500 employees. This feels like the beginning of a renaissance for us. We’re finally doing the right thing for American workers after decades, decades of unfairly traded steel into the United States. </w:t>
      </w:r>
      <w:proofErr w:type="gramStart"/>
      <w:r>
        <w:rPr>
          <w:rFonts w:ascii="Georgia" w:hAnsi="Georgia"/>
        </w:rPr>
        <w:t>So</w:t>
      </w:r>
      <w:proofErr w:type="gramEnd"/>
      <w:r>
        <w:rPr>
          <w:rFonts w:ascii="Georgia" w:hAnsi="Georgia"/>
        </w:rPr>
        <w:t xml:space="preserve"> we’re really happy and delighted to share with everybody that we’re back on track after so many years.”</w:t>
      </w:r>
    </w:p>
    <w:p w14:paraId="128EC0BD" w14:textId="77777777" w:rsidR="0064764E" w:rsidRDefault="0064764E" w:rsidP="0064764E">
      <w:pPr>
        <w:numPr>
          <w:ilvl w:val="0"/>
          <w:numId w:val="7"/>
        </w:numPr>
        <w:spacing w:before="100" w:beforeAutospacing="1" w:after="100" w:afterAutospacing="1"/>
        <w:ind w:left="0"/>
        <w:rPr>
          <w:rFonts w:ascii="Georgia" w:hAnsi="Georgia"/>
        </w:rPr>
      </w:pPr>
      <w:proofErr w:type="spellStart"/>
      <w:r>
        <w:rPr>
          <w:rFonts w:ascii="Georgia" w:hAnsi="Georgia"/>
          <w:b/>
          <w:bCs/>
        </w:rPr>
        <w:t>Zekelman</w:t>
      </w:r>
      <w:proofErr w:type="spellEnd"/>
      <w:r>
        <w:rPr>
          <w:rFonts w:ascii="Georgia" w:hAnsi="Georgia"/>
          <w:b/>
          <w:bCs/>
        </w:rPr>
        <w:t xml:space="preserve"> Industries</w:t>
      </w:r>
      <w:r>
        <w:rPr>
          <w:rFonts w:ascii="Georgia" w:hAnsi="Georgia"/>
        </w:rPr>
        <w:t xml:space="preserve"> announced they intend to give $1,000 bonuses to their 2,300 employees </w:t>
      </w:r>
      <w:proofErr w:type="gramStart"/>
      <w:r>
        <w:rPr>
          <w:rFonts w:ascii="Georgia" w:hAnsi="Georgia"/>
        </w:rPr>
        <w:t>as a result of</w:t>
      </w:r>
      <w:proofErr w:type="gramEnd"/>
      <w:r>
        <w:rPr>
          <w:rFonts w:ascii="Georgia" w:hAnsi="Georgia"/>
        </w:rPr>
        <w:t xml:space="preserve"> the steel action.</w:t>
      </w:r>
    </w:p>
    <w:p w14:paraId="0984C16B" w14:textId="77777777" w:rsidR="0064764E" w:rsidRDefault="0064764E" w:rsidP="0064764E">
      <w:pPr>
        <w:numPr>
          <w:ilvl w:val="0"/>
          <w:numId w:val="7"/>
        </w:numPr>
        <w:spacing w:before="100" w:beforeAutospacing="1" w:after="100" w:afterAutospacing="1"/>
        <w:ind w:left="0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bCs/>
        </w:rPr>
        <w:t>Century Aluminum</w:t>
      </w:r>
      <w:r>
        <w:rPr>
          <w:rFonts w:ascii="Georgia" w:hAnsi="Georgia"/>
        </w:rPr>
        <w:t xml:space="preserve"> said the tariffs would guarantee it enough business that the company would go ahead with a $100m investment in a Kentucky plant that is now operating at 40 percent of its capacity, and to rehire just under 300 workers.</w:t>
      </w:r>
      <w:r>
        <w:rPr>
          <w:rFonts w:ascii="Georgia" w:hAnsi="Georgia"/>
          <w:sz w:val="32"/>
          <w:szCs w:val="32"/>
        </w:rPr>
        <w:t xml:space="preserve"> </w:t>
      </w:r>
    </w:p>
    <w:p w14:paraId="44FCE689" w14:textId="77777777" w:rsidR="0064764E" w:rsidRDefault="0064764E" w:rsidP="0064764E">
      <w:pPr>
        <w:rPr>
          <w:rFonts w:ascii="Georgia" w:hAnsi="Georgia"/>
          <w:sz w:val="32"/>
          <w:szCs w:val="32"/>
        </w:rPr>
      </w:pPr>
      <w:r>
        <w:t> </w:t>
      </w:r>
    </w:p>
    <w:p w14:paraId="3524E63E" w14:textId="77777777" w:rsidR="0064764E" w:rsidRDefault="0064764E" w:rsidP="0064764E">
      <w:pPr>
        <w:rPr>
          <w:rFonts w:ascii="Georgia" w:hAnsi="Georgia"/>
          <w:sz w:val="32"/>
          <w:szCs w:val="32"/>
        </w:rPr>
      </w:pPr>
      <w:r>
        <w:t> </w:t>
      </w:r>
    </w:p>
    <w:p w14:paraId="63A1B582" w14:textId="77777777" w:rsidR="0064764E" w:rsidRDefault="0064764E" w:rsidP="0064764E">
      <w:pPr>
        <w:rPr>
          <w:rFonts w:ascii="Georgia" w:hAnsi="Georgia"/>
          <w:sz w:val="32"/>
          <w:szCs w:val="32"/>
        </w:rPr>
      </w:pPr>
      <w:r>
        <w:t> </w:t>
      </w:r>
    </w:p>
    <w:p w14:paraId="4DBD2606" w14:textId="77777777" w:rsidR="0064764E" w:rsidRDefault="0064764E" w:rsidP="0064764E">
      <w:pPr>
        <w:rPr>
          <w:rFonts w:ascii="Georgia" w:hAnsi="Georgia"/>
          <w:sz w:val="32"/>
          <w:szCs w:val="32"/>
        </w:rPr>
      </w:pPr>
      <w:r>
        <w:t>Kelly Sadler</w:t>
      </w:r>
    </w:p>
    <w:p w14:paraId="6C68A04C" w14:textId="77777777" w:rsidR="0064764E" w:rsidRDefault="0064764E" w:rsidP="0064764E">
      <w:pPr>
        <w:rPr>
          <w:rFonts w:ascii="Georgia" w:hAnsi="Georgia"/>
          <w:sz w:val="32"/>
          <w:szCs w:val="32"/>
        </w:rPr>
      </w:pPr>
      <w:r>
        <w:t>Director of Surrogate &amp; Coalitions Outreach</w:t>
      </w:r>
    </w:p>
    <w:p w14:paraId="04DA87F0" w14:textId="77777777" w:rsidR="0064764E" w:rsidRDefault="0064764E" w:rsidP="0064764E">
      <w:pPr>
        <w:rPr>
          <w:rFonts w:ascii="Georgia" w:hAnsi="Georgia"/>
          <w:sz w:val="32"/>
          <w:szCs w:val="32"/>
        </w:rPr>
      </w:pPr>
      <w:r>
        <w:t>Office of Communications</w:t>
      </w:r>
    </w:p>
    <w:p w14:paraId="4E9DAD45" w14:textId="77777777" w:rsidR="0064764E" w:rsidRDefault="0064764E" w:rsidP="0064764E">
      <w:pPr>
        <w:rPr>
          <w:rFonts w:ascii="Georgia" w:hAnsi="Georgia"/>
          <w:sz w:val="32"/>
          <w:szCs w:val="32"/>
        </w:rPr>
      </w:pPr>
      <w:r>
        <w:t>White House</w:t>
      </w:r>
    </w:p>
    <w:p w14:paraId="120D1AEB" w14:textId="6BDB7DA7" w:rsidR="0064764E" w:rsidRDefault="0064764E" w:rsidP="0064764E">
      <w:pPr>
        <w:rPr>
          <w:rFonts w:ascii="Georgia" w:hAnsi="Georgia"/>
          <w:sz w:val="32"/>
          <w:szCs w:val="32"/>
        </w:rPr>
      </w:pPr>
      <w:bookmarkStart w:id="0" w:name="_GoBack"/>
      <w:bookmarkEnd w:id="0"/>
    </w:p>
    <w:p w14:paraId="1BCE5D99" w14:textId="77777777" w:rsidR="006C528B" w:rsidRDefault="006C528B"/>
    <w:sectPr w:rsidR="006C5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2B19"/>
    <w:multiLevelType w:val="multilevel"/>
    <w:tmpl w:val="2B9E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36F9D"/>
    <w:multiLevelType w:val="multilevel"/>
    <w:tmpl w:val="734C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C5C80"/>
    <w:multiLevelType w:val="multilevel"/>
    <w:tmpl w:val="A874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7E7CC1"/>
    <w:multiLevelType w:val="multilevel"/>
    <w:tmpl w:val="7C36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43232"/>
    <w:multiLevelType w:val="multilevel"/>
    <w:tmpl w:val="E2E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75CAB"/>
    <w:multiLevelType w:val="multilevel"/>
    <w:tmpl w:val="93B0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5E1972"/>
    <w:multiLevelType w:val="multilevel"/>
    <w:tmpl w:val="CEC61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4E"/>
    <w:rsid w:val="004C30BA"/>
    <w:rsid w:val="0064764E"/>
    <w:rsid w:val="006C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A1529"/>
  <w15:chartTrackingRefBased/>
  <w15:docId w15:val="{81CAF1C3-FBF6-4CAD-8791-AE68628D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64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7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hitehouse.gov/articles/new-national-security-strategy-new-e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R-CALF USA</dc:creator>
  <cp:keywords/>
  <dc:description/>
  <cp:lastModifiedBy>R-CALF USA</cp:lastModifiedBy>
  <cp:revision>2</cp:revision>
  <dcterms:created xsi:type="dcterms:W3CDTF">2018-03-08T16:41:00Z</dcterms:created>
  <dcterms:modified xsi:type="dcterms:W3CDTF">2018-03-09T14:12:00Z</dcterms:modified>
</cp:coreProperties>
</file>